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3A7AC955" w:rsidR="00996E29" w:rsidRPr="00A72397" w:rsidRDefault="00A72397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9579479" w:rsidR="00996E29" w:rsidRPr="00024552" w:rsidRDefault="0002455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5234E42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A72397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024552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53747" w:rsidRPr="0015374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53747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87277D" w:rsidRPr="0087277D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7BB1ED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A72397">
        <w:rPr>
          <w:rFonts w:ascii="Times New Roman" w:hAnsi="Times New Roman"/>
          <w:b/>
          <w:bCs/>
          <w:i/>
          <w:iCs/>
          <w:color w:val="000000"/>
        </w:rPr>
        <w:t>22</w:t>
      </w:r>
      <w:r w:rsidR="00024552">
        <w:rPr>
          <w:rFonts w:ascii="Times New Roman" w:hAnsi="Times New Roman"/>
          <w:b/>
          <w:bCs/>
          <w:i/>
          <w:iCs/>
          <w:color w:val="000000"/>
        </w:rPr>
        <w:t>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FEDCC02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A72397">
        <w:rPr>
          <w:b/>
          <w:i/>
          <w:sz w:val="22"/>
          <w:szCs w:val="22"/>
        </w:rPr>
        <w:t>22</w:t>
      </w:r>
      <w:r w:rsidR="00024552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87277D">
        <w:rPr>
          <w:b/>
          <w:i/>
          <w:sz w:val="22"/>
          <w:szCs w:val="22"/>
        </w:rPr>
        <w:t>18</w:t>
      </w:r>
      <w:r w:rsidR="00F7299B">
        <w:rPr>
          <w:b/>
          <w:i/>
          <w:sz w:val="22"/>
          <w:szCs w:val="22"/>
        </w:rPr>
        <w:t>.</w:t>
      </w:r>
      <w:r w:rsidR="0087277D">
        <w:rPr>
          <w:b/>
          <w:i/>
          <w:sz w:val="22"/>
          <w:szCs w:val="22"/>
        </w:rPr>
        <w:t>05.2021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7851760" w:rsidR="00610E7E" w:rsidRPr="00FC2AE6" w:rsidRDefault="00975A7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3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Триста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0BDC71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24552">
        <w:rPr>
          <w:b/>
          <w:bCs/>
          <w:i/>
          <w:iCs/>
          <w:color w:val="000000" w:themeColor="text1"/>
          <w:sz w:val="22"/>
          <w:szCs w:val="22"/>
        </w:rPr>
        <w:t>30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A72397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56AC823B" w14:textId="77777777" w:rsidR="00024552" w:rsidRDefault="00024552" w:rsidP="000245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</w:rPr>
      </w:pPr>
    </w:p>
    <w:p w14:paraId="0258FDEB" w14:textId="5295C4D2" w:rsidR="00024552" w:rsidRPr="00024552" w:rsidRDefault="00024552" w:rsidP="000245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</w:rPr>
      </w:pPr>
      <w:r w:rsidRPr="00024552">
        <w:rPr>
          <w:rFonts w:ascii="Times New Roman" w:hAnsi="Times New Roman"/>
          <w:b/>
          <w:bCs/>
          <w:i/>
          <w:iCs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024552">
        <w:rPr>
          <w:rFonts w:ascii="Times New Roman" w:hAnsi="Times New Roman"/>
          <w:b/>
          <w:bCs/>
          <w:i/>
          <w:iCs/>
          <w:lang w:val="en-US"/>
        </w:rPr>
        <w:t>j</w:t>
      </w:r>
      <w:r w:rsidRPr="00024552">
        <w:rPr>
          <w:rFonts w:ascii="Times New Roman" w:hAnsi="Times New Roman"/>
          <w:b/>
          <w:bCs/>
          <w:i/>
          <w:iCs/>
        </w:rPr>
        <w:t>)</w:t>
      </w:r>
    </w:p>
    <w:p w14:paraId="2B11DBA4" w14:textId="77777777" w:rsidR="00024552" w:rsidRPr="00024552" w:rsidRDefault="00024552" w:rsidP="00024552">
      <w:pPr>
        <w:pStyle w:val="af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4552">
        <w:rPr>
          <w:rFonts w:ascii="Times New Roman" w:hAnsi="Times New Roman"/>
          <w:bCs/>
          <w:i/>
          <w:iCs/>
          <w:sz w:val="22"/>
          <w:szCs w:val="22"/>
        </w:rPr>
        <w:t>Для периодов дополнительного дохода с порядковым номером j = 1, 2, 3, 4, 5</w:t>
      </w:r>
    </w:p>
    <w:p w14:paraId="6723F00E" w14:textId="77777777" w:rsidR="00024552" w:rsidRPr="00024552" w:rsidRDefault="00024552" w:rsidP="00024552">
      <w:pPr>
        <w:pStyle w:val="af7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2"/>
          <w:szCs w:val="22"/>
        </w:rPr>
      </w:pPr>
      <w:r w:rsidRPr="00024552">
        <w:rPr>
          <w:rFonts w:ascii="Times New Roman" w:hAnsi="Times New Roman"/>
          <w:bCs/>
          <w:i/>
          <w:iCs/>
          <w:sz w:val="22"/>
          <w:szCs w:val="22"/>
        </w:rPr>
        <w:t xml:space="preserve">Ставка дополнительного дохода(j) = </w:t>
      </w:r>
      <w:r w:rsidRPr="00024552">
        <w:rPr>
          <w:rFonts w:ascii="Times New Roman" w:hAnsi="Times New Roman"/>
          <w:bCs/>
          <w:i/>
          <w:iCs/>
          <w:sz w:val="22"/>
          <w:szCs w:val="22"/>
          <w:lang w:val="en-US"/>
        </w:rPr>
        <w:t>0</w:t>
      </w:r>
      <w:r w:rsidRPr="00024552">
        <w:rPr>
          <w:rFonts w:ascii="Times New Roman" w:hAnsi="Times New Roman"/>
          <w:bCs/>
          <w:i/>
          <w:iCs/>
          <w:sz w:val="22"/>
          <w:szCs w:val="22"/>
        </w:rPr>
        <w:t>%;</w:t>
      </w:r>
    </w:p>
    <w:p w14:paraId="68BD32E2" w14:textId="77777777" w:rsidR="00024552" w:rsidRPr="00024552" w:rsidRDefault="00024552" w:rsidP="00024552">
      <w:pPr>
        <w:pStyle w:val="af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4552">
        <w:rPr>
          <w:rFonts w:ascii="Times New Roman" w:hAnsi="Times New Roman"/>
          <w:bCs/>
          <w:i/>
          <w:iCs/>
          <w:sz w:val="22"/>
          <w:szCs w:val="22"/>
        </w:rPr>
        <w:t>Для периода дополнительного дохода с порядковым номером j = 6</w:t>
      </w:r>
    </w:p>
    <w:p w14:paraId="3D55F439" w14:textId="77777777" w:rsidR="00024552" w:rsidRPr="00024552" w:rsidRDefault="00024552" w:rsidP="00024552">
      <w:pPr>
        <w:pStyle w:val="af7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4552">
        <w:rPr>
          <w:rFonts w:ascii="Times New Roman" w:hAnsi="Times New Roman"/>
          <w:bCs/>
          <w:i/>
          <w:iCs/>
          <w:sz w:val="22"/>
          <w:szCs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  <w:szCs w:val="22"/>
          </w:rPr>
          <m:t xml:space="preserve"> R*max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*(</m:t>
            </m:r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S1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S1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S2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S2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S3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S3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  <w:szCs w:val="22"/>
              </w:rPr>
              <m:t>)-1;0</m:t>
            </m:r>
          </m:e>
        </m:d>
      </m:oMath>
      <w:r w:rsidRPr="00024552">
        <w:rPr>
          <w:rFonts w:ascii="Times New Roman" w:hAnsi="Times New Roman"/>
          <w:bCs/>
          <w:i/>
          <w:iCs/>
          <w:sz w:val="22"/>
          <w:szCs w:val="22"/>
        </w:rPr>
        <w:t>, где</w:t>
      </w:r>
    </w:p>
    <w:p w14:paraId="25870CAB" w14:textId="6EFCB4F5" w:rsidR="00024552" w:rsidRPr="00024552" w:rsidRDefault="00024552" w:rsidP="00024552">
      <w:pPr>
        <w:autoSpaceDE w:val="0"/>
        <w:autoSpaceDN w:val="0"/>
        <w:spacing w:after="0"/>
        <w:jc w:val="both"/>
        <w:rPr>
          <w:rFonts w:ascii="Times New Roman" w:hAnsi="Times New Roman"/>
          <w:bCs/>
          <w:iCs/>
        </w:rPr>
      </w:pPr>
      <w:r w:rsidRPr="00024552">
        <w:rPr>
          <w:rFonts w:ascii="Times New Roman" w:hAnsi="Times New Roman"/>
          <w:b/>
          <w:i/>
          <w:lang w:val="en-US"/>
        </w:rPr>
        <w:t>R</w:t>
      </w:r>
      <w:r w:rsidRPr="00024552">
        <w:rPr>
          <w:rFonts w:ascii="Times New Roman" w:hAnsi="Times New Roman"/>
        </w:rPr>
        <w:t xml:space="preserve"> –</w:t>
      </w:r>
      <w:r w:rsidRPr="00024552">
        <w:rPr>
          <w:rFonts w:ascii="Times New Roman" w:hAnsi="Times New Roman"/>
          <w:b/>
          <w:i/>
        </w:rPr>
        <w:t xml:space="preserve"> </w:t>
      </w:r>
      <w:r w:rsidRPr="00024552">
        <w:rPr>
          <w:rFonts w:ascii="Times New Roman" w:hAnsi="Times New Roman"/>
        </w:rPr>
        <w:t>величина</w:t>
      </w:r>
      <w:r w:rsidRPr="00024552">
        <w:rPr>
          <w:rFonts w:ascii="Times New Roman" w:hAnsi="Times New Roman"/>
          <w:b/>
          <w:i/>
        </w:rPr>
        <w:t xml:space="preserve"> Параметра</w:t>
      </w:r>
      <w:r w:rsidRPr="00024552">
        <w:rPr>
          <w:rFonts w:ascii="Times New Roman" w:hAnsi="Times New Roman"/>
        </w:rPr>
        <w:t xml:space="preserve">, в процентах. Определяется </w:t>
      </w:r>
      <w:r w:rsidRPr="00024552">
        <w:rPr>
          <w:rFonts w:ascii="Times New Roman" w:hAnsi="Times New Roman"/>
          <w:bCs/>
          <w:iCs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024552">
        <w:rPr>
          <w:rFonts w:ascii="Times New Roman" w:hAnsi="Times New Roman"/>
          <w:b/>
          <w:bCs/>
          <w:i/>
          <w:iCs/>
        </w:rPr>
        <w:t>Параметра</w:t>
      </w:r>
      <w:r w:rsidRPr="00024552">
        <w:rPr>
          <w:rFonts w:ascii="Times New Roman" w:hAnsi="Times New Roman"/>
          <w:bCs/>
          <w:iCs/>
        </w:rPr>
        <w:t xml:space="preserve"> раскрывается Эмитентом в соответствии с подпунктом 23.3 (1) пункта 11 Программы;</w:t>
      </w:r>
    </w:p>
    <w:p w14:paraId="48FDCD6B" w14:textId="77777777" w:rsidR="00024552" w:rsidRPr="00024552" w:rsidRDefault="00024552" w:rsidP="00024552">
      <w:pPr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024552">
        <w:rPr>
          <w:rFonts w:ascii="Times New Roman" w:hAnsi="Times New Roman"/>
          <w:b/>
          <w:bCs/>
          <w:i/>
          <w:iCs/>
        </w:rPr>
        <w:t>j</w:t>
      </w:r>
      <w:r w:rsidRPr="00024552">
        <w:rPr>
          <w:rFonts w:ascii="Times New Roman" w:hAnsi="Times New Roman"/>
        </w:rPr>
        <w:t xml:space="preserve"> – порядковый номер выплаты дополнительного дохода (</w:t>
      </w:r>
      <w:r w:rsidRPr="00024552">
        <w:rPr>
          <w:rFonts w:ascii="Times New Roman" w:hAnsi="Times New Roman"/>
          <w:b/>
          <w:i/>
        </w:rPr>
        <w:t>j</w:t>
      </w:r>
      <w:r w:rsidRPr="00024552">
        <w:rPr>
          <w:rFonts w:ascii="Times New Roman" w:hAnsi="Times New Roman"/>
          <w:b/>
        </w:rPr>
        <w:t xml:space="preserve"> </w:t>
      </w:r>
      <w:r w:rsidRPr="00024552">
        <w:rPr>
          <w:rFonts w:ascii="Times New Roman" w:hAnsi="Times New Roman"/>
        </w:rPr>
        <w:t xml:space="preserve">= 1, 2, 3, 4, 5, 6);  </w:t>
      </w:r>
    </w:p>
    <w:p w14:paraId="4BBE5EC8" w14:textId="77777777" w:rsidR="00024552" w:rsidRPr="00024552" w:rsidRDefault="00024552" w:rsidP="00024552">
      <w:pPr>
        <w:keepNext/>
        <w:autoSpaceDE w:val="0"/>
        <w:autoSpaceDN w:val="0"/>
        <w:spacing w:after="0"/>
        <w:ind w:right="142"/>
        <w:jc w:val="both"/>
        <w:rPr>
          <w:rStyle w:val="a6"/>
          <w:rFonts w:ascii="Times New Roman" w:hAnsi="Times New Roman"/>
        </w:rPr>
      </w:pPr>
      <w:r w:rsidRPr="00024552">
        <w:rPr>
          <w:rFonts w:ascii="Times New Roman" w:hAnsi="Times New Roman"/>
          <w:b/>
          <w:lang w:val="en-US"/>
        </w:rPr>
        <w:t>S</w:t>
      </w:r>
      <w:r w:rsidRPr="00024552">
        <w:rPr>
          <w:rFonts w:ascii="Times New Roman" w:hAnsi="Times New Roman"/>
          <w:b/>
        </w:rPr>
        <w:t>1</w:t>
      </w:r>
      <w:r w:rsidRPr="00024552">
        <w:rPr>
          <w:rFonts w:ascii="Times New Roman" w:hAnsi="Times New Roman"/>
          <w:b/>
          <w:i/>
          <w:iCs/>
        </w:rPr>
        <w:t>(0)</w:t>
      </w:r>
      <w:r w:rsidRPr="00024552">
        <w:rPr>
          <w:rFonts w:ascii="Times New Roman" w:hAnsi="Times New Roman"/>
          <w:i/>
          <w:iCs/>
        </w:rPr>
        <w:t xml:space="preserve"> </w:t>
      </w:r>
      <w:r w:rsidRPr="00024552">
        <w:rPr>
          <w:rFonts w:ascii="Times New Roman" w:hAnsi="Times New Roman"/>
          <w:color w:val="000000"/>
        </w:rPr>
        <w:t>– значение Референсного актива 1, как оно определено в Источнике цены, по состоянию на Дату начала размещения Биржевых облигаций.</w:t>
      </w:r>
    </w:p>
    <w:p w14:paraId="6147017C" w14:textId="77777777" w:rsidR="00024552" w:rsidRPr="00024552" w:rsidRDefault="00024552" w:rsidP="00024552">
      <w:pPr>
        <w:keepNext/>
        <w:autoSpaceDE w:val="0"/>
        <w:autoSpaceDN w:val="0"/>
        <w:spacing w:after="0"/>
        <w:ind w:right="142"/>
        <w:jc w:val="both"/>
        <w:rPr>
          <w:rFonts w:ascii="Times New Roman" w:hAnsi="Times New Roman"/>
          <w:color w:val="000000"/>
        </w:rPr>
      </w:pPr>
      <w:r w:rsidRPr="00024552">
        <w:rPr>
          <w:rFonts w:ascii="Times New Roman" w:hAnsi="Times New Roman"/>
          <w:b/>
          <w:lang w:val="en-US"/>
        </w:rPr>
        <w:t>S</w:t>
      </w:r>
      <w:r w:rsidRPr="00024552">
        <w:rPr>
          <w:rFonts w:ascii="Times New Roman" w:hAnsi="Times New Roman"/>
          <w:b/>
        </w:rPr>
        <w:t>1</w:t>
      </w:r>
      <w:r w:rsidRPr="00024552">
        <w:rPr>
          <w:rFonts w:ascii="Times New Roman" w:hAnsi="Times New Roman"/>
          <w:b/>
          <w:i/>
          <w:iCs/>
        </w:rPr>
        <w:t>(</w:t>
      </w:r>
      <w:r w:rsidRPr="00024552">
        <w:rPr>
          <w:rFonts w:ascii="Times New Roman" w:hAnsi="Times New Roman"/>
          <w:b/>
          <w:i/>
          <w:iCs/>
          <w:lang w:val="en-US"/>
        </w:rPr>
        <w:t>j</w:t>
      </w:r>
      <w:r w:rsidRPr="00024552">
        <w:rPr>
          <w:rFonts w:ascii="Times New Roman" w:hAnsi="Times New Roman"/>
          <w:b/>
          <w:i/>
          <w:iCs/>
        </w:rPr>
        <w:t>)</w:t>
      </w:r>
      <w:r w:rsidRPr="00024552">
        <w:rPr>
          <w:rFonts w:ascii="Times New Roman" w:hAnsi="Times New Roman"/>
          <w:color w:val="000000"/>
        </w:rPr>
        <w:t xml:space="preserve"> – значение Референсного актива 1, как оно определено в Источнике цены,</w:t>
      </w:r>
      <w:r w:rsidRPr="00024552">
        <w:rPr>
          <w:rFonts w:ascii="Times New Roman" w:hAnsi="Times New Roman"/>
          <w:i/>
          <w:iCs/>
          <w:color w:val="000000"/>
        </w:rPr>
        <w:t xml:space="preserve"> </w:t>
      </w:r>
      <w:r w:rsidRPr="00024552">
        <w:rPr>
          <w:rFonts w:ascii="Times New Roman" w:hAnsi="Times New Roman"/>
          <w:color w:val="000000"/>
        </w:rPr>
        <w:t xml:space="preserve">по состоянию на Дату определения дополнительного дохода </w:t>
      </w:r>
      <w:r w:rsidRPr="00024552">
        <w:rPr>
          <w:rFonts w:ascii="Times New Roman" w:hAnsi="Times New Roman"/>
          <w:i/>
          <w:iCs/>
          <w:color w:val="000000"/>
        </w:rPr>
        <w:t>(</w:t>
      </w:r>
      <w:r w:rsidRPr="00024552">
        <w:rPr>
          <w:rFonts w:ascii="Times New Roman" w:hAnsi="Times New Roman"/>
          <w:i/>
          <w:iCs/>
          <w:color w:val="000000"/>
          <w:lang w:val="en-US"/>
        </w:rPr>
        <w:t>j</w:t>
      </w:r>
      <w:r w:rsidRPr="00024552">
        <w:rPr>
          <w:rFonts w:ascii="Times New Roman" w:hAnsi="Times New Roman"/>
          <w:i/>
          <w:iCs/>
          <w:color w:val="000000"/>
        </w:rPr>
        <w:t>)</w:t>
      </w:r>
      <w:r w:rsidRPr="00024552">
        <w:rPr>
          <w:rFonts w:ascii="Times New Roman" w:hAnsi="Times New Roman"/>
          <w:color w:val="000000"/>
        </w:rPr>
        <w:t xml:space="preserve">. </w:t>
      </w:r>
    </w:p>
    <w:p w14:paraId="7C10E249" w14:textId="77777777" w:rsidR="00024552" w:rsidRPr="00024552" w:rsidRDefault="00024552" w:rsidP="00024552">
      <w:pPr>
        <w:keepNext/>
        <w:autoSpaceDE w:val="0"/>
        <w:autoSpaceDN w:val="0"/>
        <w:spacing w:after="0"/>
        <w:ind w:right="142"/>
        <w:jc w:val="both"/>
        <w:rPr>
          <w:rStyle w:val="a6"/>
          <w:rFonts w:ascii="Times New Roman" w:hAnsi="Times New Roman"/>
        </w:rPr>
      </w:pPr>
      <w:r w:rsidRPr="00024552">
        <w:rPr>
          <w:rFonts w:ascii="Times New Roman" w:hAnsi="Times New Roman"/>
          <w:b/>
          <w:lang w:val="en-US"/>
        </w:rPr>
        <w:t>S</w:t>
      </w:r>
      <w:r w:rsidRPr="00024552">
        <w:rPr>
          <w:rFonts w:ascii="Times New Roman" w:hAnsi="Times New Roman"/>
          <w:b/>
        </w:rPr>
        <w:t>2</w:t>
      </w:r>
      <w:r w:rsidRPr="00024552">
        <w:rPr>
          <w:rFonts w:ascii="Times New Roman" w:hAnsi="Times New Roman"/>
          <w:b/>
          <w:i/>
          <w:iCs/>
        </w:rPr>
        <w:t>(0)</w:t>
      </w:r>
      <w:r w:rsidRPr="00024552">
        <w:rPr>
          <w:rFonts w:ascii="Times New Roman" w:hAnsi="Times New Roman"/>
          <w:i/>
          <w:iCs/>
        </w:rPr>
        <w:t xml:space="preserve"> </w:t>
      </w:r>
      <w:r w:rsidRPr="00024552">
        <w:rPr>
          <w:rFonts w:ascii="Times New Roman" w:hAnsi="Times New Roman"/>
          <w:color w:val="000000"/>
        </w:rPr>
        <w:t>– значение Референсного актива 2, как оно определено в Источнике цены, по состоянию на Дату начала размещения Биржевых облигаций.</w:t>
      </w:r>
    </w:p>
    <w:p w14:paraId="2EC60E78" w14:textId="77777777" w:rsidR="00024552" w:rsidRPr="00024552" w:rsidRDefault="00024552" w:rsidP="00024552">
      <w:pPr>
        <w:keepNext/>
        <w:autoSpaceDE w:val="0"/>
        <w:autoSpaceDN w:val="0"/>
        <w:spacing w:after="0"/>
        <w:ind w:right="142"/>
        <w:jc w:val="both"/>
        <w:rPr>
          <w:rFonts w:ascii="Times New Roman" w:hAnsi="Times New Roman"/>
          <w:color w:val="000000"/>
        </w:rPr>
      </w:pPr>
      <w:r w:rsidRPr="00024552">
        <w:rPr>
          <w:rFonts w:ascii="Times New Roman" w:hAnsi="Times New Roman"/>
          <w:b/>
          <w:lang w:val="en-US"/>
        </w:rPr>
        <w:t>S</w:t>
      </w:r>
      <w:r w:rsidRPr="00024552">
        <w:rPr>
          <w:rFonts w:ascii="Times New Roman" w:hAnsi="Times New Roman"/>
          <w:b/>
        </w:rPr>
        <w:t>2</w:t>
      </w:r>
      <w:r w:rsidRPr="00024552">
        <w:rPr>
          <w:rFonts w:ascii="Times New Roman" w:hAnsi="Times New Roman"/>
          <w:b/>
          <w:i/>
          <w:iCs/>
        </w:rPr>
        <w:t>(</w:t>
      </w:r>
      <w:r w:rsidRPr="00024552">
        <w:rPr>
          <w:rFonts w:ascii="Times New Roman" w:hAnsi="Times New Roman"/>
          <w:b/>
          <w:i/>
          <w:iCs/>
          <w:lang w:val="en-US"/>
        </w:rPr>
        <w:t>j</w:t>
      </w:r>
      <w:r w:rsidRPr="00024552">
        <w:rPr>
          <w:rFonts w:ascii="Times New Roman" w:hAnsi="Times New Roman"/>
          <w:b/>
          <w:i/>
          <w:iCs/>
        </w:rPr>
        <w:t>)</w:t>
      </w:r>
      <w:r w:rsidRPr="00024552">
        <w:rPr>
          <w:rFonts w:ascii="Times New Roman" w:hAnsi="Times New Roman"/>
          <w:color w:val="000000"/>
        </w:rPr>
        <w:t xml:space="preserve"> – значение Референсного актива 2, как оно определено в Источнике цены,</w:t>
      </w:r>
      <w:r w:rsidRPr="00024552">
        <w:rPr>
          <w:rFonts w:ascii="Times New Roman" w:hAnsi="Times New Roman"/>
          <w:i/>
          <w:iCs/>
          <w:color w:val="000000"/>
        </w:rPr>
        <w:t xml:space="preserve"> </w:t>
      </w:r>
      <w:r w:rsidRPr="00024552">
        <w:rPr>
          <w:rFonts w:ascii="Times New Roman" w:hAnsi="Times New Roman"/>
          <w:color w:val="000000"/>
        </w:rPr>
        <w:t xml:space="preserve">по состоянию на Дату определения дополнительного дохода </w:t>
      </w:r>
      <w:r w:rsidRPr="00024552">
        <w:rPr>
          <w:rFonts w:ascii="Times New Roman" w:hAnsi="Times New Roman"/>
          <w:i/>
          <w:iCs/>
          <w:color w:val="000000"/>
        </w:rPr>
        <w:t>(</w:t>
      </w:r>
      <w:r w:rsidRPr="00024552">
        <w:rPr>
          <w:rFonts w:ascii="Times New Roman" w:hAnsi="Times New Roman"/>
          <w:i/>
          <w:iCs/>
          <w:color w:val="000000"/>
          <w:lang w:val="en-US"/>
        </w:rPr>
        <w:t>j</w:t>
      </w:r>
      <w:r w:rsidRPr="00024552">
        <w:rPr>
          <w:rFonts w:ascii="Times New Roman" w:hAnsi="Times New Roman"/>
          <w:i/>
          <w:iCs/>
          <w:color w:val="000000"/>
        </w:rPr>
        <w:t>)</w:t>
      </w:r>
      <w:r w:rsidRPr="00024552">
        <w:rPr>
          <w:rFonts w:ascii="Times New Roman" w:hAnsi="Times New Roman"/>
          <w:color w:val="000000"/>
        </w:rPr>
        <w:t>.</w:t>
      </w:r>
    </w:p>
    <w:p w14:paraId="7F25E67C" w14:textId="77777777" w:rsidR="00024552" w:rsidRPr="00024552" w:rsidRDefault="00024552" w:rsidP="00024552">
      <w:pPr>
        <w:keepNext/>
        <w:autoSpaceDE w:val="0"/>
        <w:autoSpaceDN w:val="0"/>
        <w:spacing w:after="0"/>
        <w:ind w:right="142"/>
        <w:jc w:val="both"/>
        <w:rPr>
          <w:rStyle w:val="a6"/>
          <w:rFonts w:ascii="Times New Roman" w:hAnsi="Times New Roman"/>
        </w:rPr>
      </w:pPr>
      <w:r w:rsidRPr="00024552">
        <w:rPr>
          <w:rFonts w:ascii="Times New Roman" w:hAnsi="Times New Roman"/>
          <w:b/>
          <w:lang w:val="en-US"/>
        </w:rPr>
        <w:t>S</w:t>
      </w:r>
      <w:r w:rsidRPr="00024552">
        <w:rPr>
          <w:rFonts w:ascii="Times New Roman" w:hAnsi="Times New Roman"/>
          <w:b/>
        </w:rPr>
        <w:t>3</w:t>
      </w:r>
      <w:r w:rsidRPr="00024552">
        <w:rPr>
          <w:rFonts w:ascii="Times New Roman" w:hAnsi="Times New Roman"/>
          <w:b/>
          <w:i/>
          <w:iCs/>
        </w:rPr>
        <w:t>(0)</w:t>
      </w:r>
      <w:r w:rsidRPr="00024552">
        <w:rPr>
          <w:rFonts w:ascii="Times New Roman" w:hAnsi="Times New Roman"/>
          <w:i/>
          <w:iCs/>
        </w:rPr>
        <w:t xml:space="preserve"> </w:t>
      </w:r>
      <w:r w:rsidRPr="00024552">
        <w:rPr>
          <w:rFonts w:ascii="Times New Roman" w:hAnsi="Times New Roman"/>
          <w:color w:val="000000"/>
        </w:rPr>
        <w:t>– значение Референсного актива 3, как оно определено в Источнике цены, по состоянию на Дату начала размещения Биржевых облигаций.</w:t>
      </w:r>
    </w:p>
    <w:p w14:paraId="6C081B87" w14:textId="77777777" w:rsidR="00024552" w:rsidRPr="00024552" w:rsidRDefault="00024552" w:rsidP="00024552">
      <w:pPr>
        <w:keepNext/>
        <w:autoSpaceDE w:val="0"/>
        <w:autoSpaceDN w:val="0"/>
        <w:spacing w:after="0"/>
        <w:ind w:right="142"/>
        <w:jc w:val="both"/>
        <w:rPr>
          <w:rFonts w:ascii="Times New Roman" w:hAnsi="Times New Roman"/>
          <w:color w:val="000000"/>
        </w:rPr>
      </w:pPr>
      <w:r w:rsidRPr="00024552">
        <w:rPr>
          <w:rFonts w:ascii="Times New Roman" w:hAnsi="Times New Roman"/>
          <w:b/>
          <w:lang w:val="en-US"/>
        </w:rPr>
        <w:t>S</w:t>
      </w:r>
      <w:r w:rsidRPr="00024552">
        <w:rPr>
          <w:rFonts w:ascii="Times New Roman" w:hAnsi="Times New Roman"/>
          <w:b/>
        </w:rPr>
        <w:t>3</w:t>
      </w:r>
      <w:r w:rsidRPr="00024552">
        <w:rPr>
          <w:rFonts w:ascii="Times New Roman" w:hAnsi="Times New Roman"/>
          <w:b/>
          <w:i/>
          <w:iCs/>
        </w:rPr>
        <w:t>(</w:t>
      </w:r>
      <w:r w:rsidRPr="00024552">
        <w:rPr>
          <w:rFonts w:ascii="Times New Roman" w:hAnsi="Times New Roman"/>
          <w:b/>
          <w:i/>
          <w:iCs/>
          <w:lang w:val="en-US"/>
        </w:rPr>
        <w:t>j</w:t>
      </w:r>
      <w:r w:rsidRPr="00024552">
        <w:rPr>
          <w:rFonts w:ascii="Times New Roman" w:hAnsi="Times New Roman"/>
          <w:b/>
          <w:i/>
          <w:iCs/>
        </w:rPr>
        <w:t>)</w:t>
      </w:r>
      <w:r w:rsidRPr="00024552">
        <w:rPr>
          <w:rFonts w:ascii="Times New Roman" w:hAnsi="Times New Roman"/>
          <w:color w:val="000000"/>
        </w:rPr>
        <w:t xml:space="preserve"> – значение Референсного актива 3, как оно определено в Источнике цены,</w:t>
      </w:r>
      <w:r w:rsidRPr="00024552">
        <w:rPr>
          <w:rFonts w:ascii="Times New Roman" w:hAnsi="Times New Roman"/>
          <w:i/>
          <w:iCs/>
          <w:color w:val="000000"/>
        </w:rPr>
        <w:t xml:space="preserve"> </w:t>
      </w:r>
      <w:r w:rsidRPr="00024552">
        <w:rPr>
          <w:rFonts w:ascii="Times New Roman" w:hAnsi="Times New Roman"/>
          <w:color w:val="000000"/>
        </w:rPr>
        <w:t xml:space="preserve">по состоянию на Дату определения дополнительного дохода </w:t>
      </w:r>
      <w:r w:rsidRPr="00024552">
        <w:rPr>
          <w:rFonts w:ascii="Times New Roman" w:hAnsi="Times New Roman"/>
          <w:i/>
          <w:iCs/>
          <w:color w:val="000000"/>
        </w:rPr>
        <w:t>(</w:t>
      </w:r>
      <w:r w:rsidRPr="00024552">
        <w:rPr>
          <w:rFonts w:ascii="Times New Roman" w:hAnsi="Times New Roman"/>
          <w:i/>
          <w:iCs/>
          <w:color w:val="000000"/>
          <w:lang w:val="en-US"/>
        </w:rPr>
        <w:t>j</w:t>
      </w:r>
      <w:r w:rsidRPr="00024552">
        <w:rPr>
          <w:rFonts w:ascii="Times New Roman" w:hAnsi="Times New Roman"/>
          <w:i/>
          <w:iCs/>
          <w:color w:val="000000"/>
        </w:rPr>
        <w:t>)</w:t>
      </w:r>
      <w:r w:rsidRPr="00024552">
        <w:rPr>
          <w:rFonts w:ascii="Times New Roman" w:hAnsi="Times New Roman"/>
          <w:color w:val="000000"/>
        </w:rPr>
        <w:t>.</w:t>
      </w:r>
    </w:p>
    <w:p w14:paraId="0E150D3F" w14:textId="77777777" w:rsidR="00024552" w:rsidRPr="00024552" w:rsidRDefault="00024552" w:rsidP="00024552">
      <w:pPr>
        <w:spacing w:after="0"/>
        <w:jc w:val="both"/>
        <w:rPr>
          <w:rFonts w:ascii="Times New Roman" w:hAnsi="Times New Roman"/>
        </w:rPr>
      </w:pPr>
      <w:r w:rsidRPr="00024552">
        <w:rPr>
          <w:rFonts w:ascii="Times New Roman" w:hAnsi="Times New Roman"/>
          <w:b/>
          <w:bCs/>
          <w:i/>
          <w:iCs/>
        </w:rPr>
        <w:t>Торговый день</w:t>
      </w:r>
      <w:r w:rsidRPr="00024552">
        <w:rPr>
          <w:rFonts w:ascii="Times New Roman" w:hAnsi="Times New Roman"/>
        </w:rPr>
        <w:t xml:space="preserve"> – каждый день, по состоянию на который осуществляется расчет значения Референсных активов.</w:t>
      </w:r>
    </w:p>
    <w:p w14:paraId="58A9DF76" w14:textId="77777777" w:rsidR="00024552" w:rsidRPr="00024552" w:rsidRDefault="00024552" w:rsidP="00024552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bCs/>
          <w:iCs/>
        </w:rPr>
      </w:pPr>
      <w:r w:rsidRPr="00024552">
        <w:rPr>
          <w:rFonts w:ascii="Times New Roman" w:hAnsi="Times New Roman"/>
          <w:b/>
          <w:bCs/>
          <w:i/>
          <w:iCs/>
        </w:rPr>
        <w:t>Дата определения</w:t>
      </w:r>
      <w:r w:rsidRPr="00024552">
        <w:rPr>
          <w:rFonts w:ascii="Times New Roman" w:hAnsi="Times New Roman"/>
          <w:bCs/>
          <w:iCs/>
        </w:rPr>
        <w:t xml:space="preserve"> </w:t>
      </w:r>
      <w:r w:rsidRPr="00024552">
        <w:rPr>
          <w:rFonts w:ascii="Times New Roman" w:hAnsi="Times New Roman"/>
          <w:b/>
          <w:bCs/>
          <w:i/>
          <w:iCs/>
        </w:rPr>
        <w:t>дополнительного дохода</w:t>
      </w:r>
      <w:r w:rsidRPr="00024552">
        <w:rPr>
          <w:rFonts w:ascii="Times New Roman" w:hAnsi="Times New Roman"/>
          <w:bCs/>
          <w:iCs/>
        </w:rPr>
        <w:t xml:space="preserve"> - 5-ый (Пятый) Торговый день, предшествующий Дате досрочного погашения. </w:t>
      </w:r>
      <w:r w:rsidRPr="00024552">
        <w:rPr>
          <w:rFonts w:ascii="Times New Roman" w:hAnsi="Times New Roman"/>
          <w:color w:val="00000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024552">
        <w:rPr>
          <w:rFonts w:ascii="Times New Roman" w:hAnsi="Times New Roman"/>
          <w:bCs/>
          <w:iCs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7EE86D7" w14:textId="77777777" w:rsidR="00024552" w:rsidRPr="00024552" w:rsidRDefault="00024552" w:rsidP="00024552">
      <w:pPr>
        <w:widowControl w:val="0"/>
        <w:tabs>
          <w:tab w:val="left" w:pos="284"/>
        </w:tabs>
        <w:spacing w:after="0"/>
        <w:jc w:val="both"/>
        <w:rPr>
          <w:rFonts w:ascii="Times New Roman" w:hAnsi="Times New Roman"/>
          <w:bCs/>
          <w:iCs/>
        </w:rPr>
      </w:pPr>
    </w:p>
    <w:p w14:paraId="64B798D4" w14:textId="77777777" w:rsidR="00024552" w:rsidRPr="00024552" w:rsidRDefault="00024552" w:rsidP="00024552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  <w:i/>
          <w:color w:val="000000"/>
        </w:rPr>
      </w:pPr>
      <w:r w:rsidRPr="00024552">
        <w:rPr>
          <w:rFonts w:ascii="Times New Roman" w:hAnsi="Times New Roman"/>
          <w:b/>
          <w:bCs/>
          <w:i/>
          <w:color w:val="000000"/>
        </w:rPr>
        <w:t>Характеристики Референсных активов</w:t>
      </w:r>
    </w:p>
    <w:tbl>
      <w:tblPr>
        <w:tblStyle w:val="TableGridLight1"/>
        <w:tblW w:w="8788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2438"/>
        <w:gridCol w:w="6350"/>
      </w:tblGrid>
      <w:tr w:rsidR="00024552" w:rsidRPr="00024552" w14:paraId="26CA00F5" w14:textId="77777777" w:rsidTr="00FF2BD4">
        <w:trPr>
          <w:trHeight w:val="382"/>
        </w:trPr>
        <w:tc>
          <w:tcPr>
            <w:tcW w:w="8788" w:type="dxa"/>
            <w:gridSpan w:val="2"/>
            <w:vAlign w:val="center"/>
          </w:tcPr>
          <w:p w14:paraId="726EFC17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</w:rPr>
            </w:pPr>
            <w:r w:rsidRPr="00024552">
              <w:rPr>
                <w:rFonts w:ascii="Times New Roman" w:hAnsi="Times New Roman" w:cs="Times New Roman"/>
                <w:color w:val="000000"/>
              </w:rPr>
              <w:t>Референсный актив 1</w:t>
            </w:r>
          </w:p>
        </w:tc>
      </w:tr>
      <w:tr w:rsidR="00024552" w:rsidRPr="001F05EF" w14:paraId="42AC5CC6" w14:textId="77777777" w:rsidTr="00FF2BD4">
        <w:trPr>
          <w:trHeight w:val="351"/>
        </w:trPr>
        <w:tc>
          <w:tcPr>
            <w:tcW w:w="2438" w:type="dxa"/>
            <w:vAlign w:val="center"/>
          </w:tcPr>
          <w:p w14:paraId="2E93818F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</w:rPr>
              <w:t>Наименование:</w:t>
            </w:r>
          </w:p>
        </w:tc>
        <w:tc>
          <w:tcPr>
            <w:tcW w:w="6350" w:type="dxa"/>
            <w:vAlign w:val="center"/>
          </w:tcPr>
          <w:p w14:paraId="6BDE1A85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>iShares Core EURO STOXX 50 UCITS ETF</w:t>
            </w:r>
          </w:p>
        </w:tc>
      </w:tr>
      <w:tr w:rsidR="00024552" w:rsidRPr="00024552" w14:paraId="61F0C5F3" w14:textId="77777777" w:rsidTr="00FF2BD4">
        <w:trPr>
          <w:trHeight w:val="351"/>
        </w:trPr>
        <w:tc>
          <w:tcPr>
            <w:tcW w:w="2438" w:type="dxa"/>
            <w:vAlign w:val="center"/>
          </w:tcPr>
          <w:p w14:paraId="696FE687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>ISIN:</w:t>
            </w:r>
          </w:p>
        </w:tc>
        <w:tc>
          <w:tcPr>
            <w:tcW w:w="6350" w:type="dxa"/>
            <w:vAlign w:val="center"/>
          </w:tcPr>
          <w:p w14:paraId="04EBB7A4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>DE0005705446</w:t>
            </w:r>
          </w:p>
        </w:tc>
      </w:tr>
      <w:tr w:rsidR="00024552" w:rsidRPr="001F05EF" w14:paraId="1C86407F" w14:textId="77777777" w:rsidTr="00FF2BD4">
        <w:trPr>
          <w:trHeight w:val="549"/>
        </w:trPr>
        <w:tc>
          <w:tcPr>
            <w:tcW w:w="2438" w:type="dxa"/>
            <w:vAlign w:val="center"/>
          </w:tcPr>
          <w:p w14:paraId="6CE6DE08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</w:rPr>
            </w:pPr>
            <w:r w:rsidRPr="00024552">
              <w:rPr>
                <w:rFonts w:ascii="Times New Roman" w:hAnsi="Times New Roman" w:cs="Times New Roman"/>
                <w:color w:val="000000"/>
              </w:rPr>
              <w:t>Источник цены:</w:t>
            </w:r>
          </w:p>
        </w:tc>
        <w:tc>
          <w:tcPr>
            <w:tcW w:w="6350" w:type="dxa"/>
            <w:vAlign w:val="center"/>
          </w:tcPr>
          <w:p w14:paraId="6FE0C22E" w14:textId="77777777" w:rsidR="00024552" w:rsidRPr="00024552" w:rsidRDefault="00080BDE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https://www.boerse-frankfurt.de/en/etf/ishares-core-euro-stoxx-50-ucits-etf-de</w:t>
              </w:r>
            </w:hyperlink>
            <w:r w:rsidR="00024552" w:rsidRPr="000245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24552" w:rsidRPr="00024552">
              <w:rPr>
                <w:rFonts w:ascii="Times New Roman" w:hAnsi="Times New Roman" w:cs="Times New Roman"/>
                <w:bCs/>
                <w:color w:val="000000"/>
              </w:rPr>
              <w:t>Страница</w:t>
            </w:r>
            <w:r w:rsidR="00024552"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Xetra, Price History, </w:t>
            </w:r>
            <w:r w:rsidR="00024552" w:rsidRPr="00024552">
              <w:rPr>
                <w:rFonts w:ascii="Times New Roman" w:hAnsi="Times New Roman" w:cs="Times New Roman"/>
                <w:bCs/>
                <w:color w:val="000000"/>
              </w:rPr>
              <w:t>значение</w:t>
            </w:r>
            <w:r w:rsidR="00024552"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Close</w:t>
            </w:r>
          </w:p>
        </w:tc>
      </w:tr>
      <w:tr w:rsidR="00024552" w:rsidRPr="00024552" w14:paraId="6E54C4DC" w14:textId="77777777" w:rsidTr="00FF2BD4">
        <w:trPr>
          <w:trHeight w:val="292"/>
        </w:trPr>
        <w:tc>
          <w:tcPr>
            <w:tcW w:w="8788" w:type="dxa"/>
            <w:gridSpan w:val="2"/>
            <w:vAlign w:val="center"/>
          </w:tcPr>
          <w:p w14:paraId="6564FD42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color w:val="000000"/>
              </w:rPr>
              <w:t>Референсный актив 2</w:t>
            </w:r>
          </w:p>
        </w:tc>
      </w:tr>
      <w:tr w:rsidR="00024552" w:rsidRPr="00024552" w14:paraId="14F746DD" w14:textId="77777777" w:rsidTr="00FF2BD4">
        <w:trPr>
          <w:trHeight w:val="313"/>
        </w:trPr>
        <w:tc>
          <w:tcPr>
            <w:tcW w:w="2438" w:type="dxa"/>
            <w:vAlign w:val="center"/>
          </w:tcPr>
          <w:p w14:paraId="45111DBD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</w:rPr>
              <w:t>Наименование:</w:t>
            </w:r>
          </w:p>
        </w:tc>
        <w:tc>
          <w:tcPr>
            <w:tcW w:w="6350" w:type="dxa"/>
            <w:vAlign w:val="center"/>
          </w:tcPr>
          <w:p w14:paraId="3CAEB234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>Индекс МосБиржи</w:t>
            </w:r>
          </w:p>
        </w:tc>
      </w:tr>
      <w:tr w:rsidR="00024552" w:rsidRPr="00024552" w14:paraId="4257F7F6" w14:textId="77777777" w:rsidTr="00FF2BD4">
        <w:trPr>
          <w:trHeight w:val="313"/>
        </w:trPr>
        <w:tc>
          <w:tcPr>
            <w:tcW w:w="2438" w:type="dxa"/>
            <w:vAlign w:val="center"/>
          </w:tcPr>
          <w:p w14:paraId="6D665B2F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>ISIN:</w:t>
            </w:r>
          </w:p>
        </w:tc>
        <w:tc>
          <w:tcPr>
            <w:tcW w:w="6350" w:type="dxa"/>
            <w:vAlign w:val="center"/>
          </w:tcPr>
          <w:p w14:paraId="0AC4FE2F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lang w:val="en-US"/>
              </w:rPr>
              <w:t>RU000A0JP7K5</w:t>
            </w:r>
          </w:p>
        </w:tc>
      </w:tr>
      <w:tr w:rsidR="00024552" w:rsidRPr="00024552" w14:paraId="1795D84B" w14:textId="77777777" w:rsidTr="00FF2BD4">
        <w:trPr>
          <w:trHeight w:val="546"/>
        </w:trPr>
        <w:tc>
          <w:tcPr>
            <w:tcW w:w="2438" w:type="dxa"/>
            <w:vAlign w:val="center"/>
          </w:tcPr>
          <w:p w14:paraId="43D07C9F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color w:val="000000"/>
              </w:rPr>
              <w:t>Источник цены:</w:t>
            </w:r>
          </w:p>
        </w:tc>
        <w:tc>
          <w:tcPr>
            <w:tcW w:w="6350" w:type="dxa"/>
            <w:vAlign w:val="center"/>
          </w:tcPr>
          <w:p w14:paraId="3049BAF3" w14:textId="77777777" w:rsidR="00024552" w:rsidRPr="00024552" w:rsidRDefault="00080BDE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</w:rPr>
            </w:pPr>
            <w:hyperlink r:id="rId9" w:history="1"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https</w:t>
              </w:r>
              <w:r w:rsidR="00024552" w:rsidRPr="00024552">
                <w:rPr>
                  <w:rStyle w:val="a6"/>
                  <w:rFonts w:ascii="Times New Roman" w:hAnsi="Times New Roman"/>
                </w:rPr>
                <w:t>://</w:t>
              </w:r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www</w:t>
              </w:r>
              <w:r w:rsidR="00024552" w:rsidRPr="00024552">
                <w:rPr>
                  <w:rStyle w:val="a6"/>
                  <w:rFonts w:ascii="Times New Roman" w:hAnsi="Times New Roman"/>
                </w:rPr>
                <w:t>.</w:t>
              </w:r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moex</w:t>
              </w:r>
              <w:r w:rsidR="00024552" w:rsidRPr="00024552">
                <w:rPr>
                  <w:rStyle w:val="a6"/>
                  <w:rFonts w:ascii="Times New Roman" w:hAnsi="Times New Roman"/>
                </w:rPr>
                <w:t>.</w:t>
              </w:r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com</w:t>
              </w:r>
              <w:r w:rsidR="00024552" w:rsidRPr="00024552">
                <w:rPr>
                  <w:rStyle w:val="a6"/>
                  <w:rFonts w:ascii="Times New Roman" w:hAnsi="Times New Roman"/>
                </w:rPr>
                <w:t>/</w:t>
              </w:r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ru</w:t>
              </w:r>
              <w:r w:rsidR="00024552" w:rsidRPr="00024552">
                <w:rPr>
                  <w:rStyle w:val="a6"/>
                  <w:rFonts w:ascii="Times New Roman" w:hAnsi="Times New Roman"/>
                </w:rPr>
                <w:t>/</w:t>
              </w:r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index</w:t>
              </w:r>
              <w:r w:rsidR="00024552" w:rsidRPr="00024552">
                <w:rPr>
                  <w:rStyle w:val="a6"/>
                  <w:rFonts w:ascii="Times New Roman" w:hAnsi="Times New Roman"/>
                </w:rPr>
                <w:t>/</w:t>
              </w:r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IMOEX</w:t>
              </w:r>
            </w:hyperlink>
            <w:r w:rsidR="00024552" w:rsidRPr="00024552">
              <w:rPr>
                <w:rFonts w:ascii="Times New Roman" w:hAnsi="Times New Roman" w:cs="Times New Roman"/>
              </w:rPr>
              <w:t xml:space="preserve"> Значение Закрытие</w:t>
            </w:r>
          </w:p>
        </w:tc>
      </w:tr>
      <w:tr w:rsidR="00024552" w:rsidRPr="00024552" w14:paraId="4DE9CF42" w14:textId="77777777" w:rsidTr="00FF2BD4">
        <w:trPr>
          <w:trHeight w:val="343"/>
        </w:trPr>
        <w:tc>
          <w:tcPr>
            <w:tcW w:w="8788" w:type="dxa"/>
            <w:gridSpan w:val="2"/>
            <w:vAlign w:val="center"/>
          </w:tcPr>
          <w:p w14:paraId="6A976AD1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color w:val="000000"/>
              </w:rPr>
              <w:t>Референсный актив 3</w:t>
            </w:r>
          </w:p>
        </w:tc>
      </w:tr>
      <w:tr w:rsidR="00024552" w:rsidRPr="001F05EF" w14:paraId="164ACB11" w14:textId="77777777" w:rsidTr="00FF2BD4">
        <w:trPr>
          <w:trHeight w:val="302"/>
        </w:trPr>
        <w:tc>
          <w:tcPr>
            <w:tcW w:w="2438" w:type="dxa"/>
            <w:vAlign w:val="center"/>
          </w:tcPr>
          <w:p w14:paraId="1DC0F012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</w:rPr>
              <w:t>Наименование:</w:t>
            </w:r>
          </w:p>
        </w:tc>
        <w:tc>
          <w:tcPr>
            <w:tcW w:w="6350" w:type="dxa"/>
            <w:vAlign w:val="center"/>
          </w:tcPr>
          <w:p w14:paraId="0DC694E5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lang w:val="en-US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>SPDR S&amp;P 500 ETF Trust</w:t>
            </w:r>
          </w:p>
        </w:tc>
      </w:tr>
      <w:tr w:rsidR="00024552" w:rsidRPr="00024552" w14:paraId="04E3C56F" w14:textId="77777777" w:rsidTr="00FF2BD4">
        <w:trPr>
          <w:trHeight w:val="302"/>
        </w:trPr>
        <w:tc>
          <w:tcPr>
            <w:tcW w:w="2438" w:type="dxa"/>
            <w:vAlign w:val="center"/>
          </w:tcPr>
          <w:p w14:paraId="4E5D15A7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</w:rPr>
            </w:pPr>
            <w:r w:rsidRPr="00024552">
              <w:rPr>
                <w:rFonts w:ascii="Times New Roman" w:hAnsi="Times New Roman" w:cs="Times New Roman"/>
                <w:bCs/>
                <w:color w:val="000000"/>
                <w:lang w:val="en-US"/>
              </w:rPr>
              <w:t>ISIN:</w:t>
            </w:r>
          </w:p>
        </w:tc>
        <w:tc>
          <w:tcPr>
            <w:tcW w:w="6350" w:type="dxa"/>
            <w:vAlign w:val="center"/>
          </w:tcPr>
          <w:p w14:paraId="641496A3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lang w:val="en-US"/>
              </w:rPr>
              <w:t>US78462F1030</w:t>
            </w:r>
          </w:p>
        </w:tc>
      </w:tr>
      <w:tr w:rsidR="00024552" w:rsidRPr="001F05EF" w14:paraId="039A95E4" w14:textId="77777777" w:rsidTr="00FF2BD4">
        <w:trPr>
          <w:trHeight w:val="416"/>
        </w:trPr>
        <w:tc>
          <w:tcPr>
            <w:tcW w:w="2438" w:type="dxa"/>
            <w:vAlign w:val="center"/>
          </w:tcPr>
          <w:p w14:paraId="3119DB1D" w14:textId="77777777" w:rsidR="00024552" w:rsidRPr="00024552" w:rsidRDefault="00024552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24552">
              <w:rPr>
                <w:rFonts w:ascii="Times New Roman" w:hAnsi="Times New Roman" w:cs="Times New Roman"/>
                <w:color w:val="000000"/>
              </w:rPr>
              <w:t>Источник цены:</w:t>
            </w:r>
          </w:p>
        </w:tc>
        <w:tc>
          <w:tcPr>
            <w:tcW w:w="6350" w:type="dxa"/>
            <w:vAlign w:val="center"/>
          </w:tcPr>
          <w:p w14:paraId="47F7AC52" w14:textId="77777777" w:rsidR="00024552" w:rsidRPr="00024552" w:rsidRDefault="00080BDE" w:rsidP="00FF2BD4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024552" w:rsidRPr="00024552">
                <w:rPr>
                  <w:rStyle w:val="a6"/>
                  <w:rFonts w:ascii="Times New Roman" w:hAnsi="Times New Roman"/>
                  <w:lang w:val="en-US"/>
                </w:rPr>
                <w:t>https://www.nasdaq.com/market-activity/funds-and-etfs/spy/historical</w:t>
              </w:r>
            </w:hyperlink>
            <w:r w:rsidR="00024552" w:rsidRPr="00024552">
              <w:rPr>
                <w:rFonts w:ascii="Times New Roman" w:hAnsi="Times New Roman" w:cs="Times New Roman"/>
                <w:lang w:val="en-US"/>
              </w:rPr>
              <w:t xml:space="preserve"> Значение Close/Last</w:t>
            </w:r>
          </w:p>
        </w:tc>
      </w:tr>
    </w:tbl>
    <w:p w14:paraId="5C7505F9" w14:textId="77777777" w:rsidR="00024552" w:rsidRPr="00024552" w:rsidRDefault="00024552" w:rsidP="00024552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lang w:val="en-US"/>
        </w:rPr>
      </w:pPr>
    </w:p>
    <w:p w14:paraId="1072F980" w14:textId="77777777" w:rsidR="00024552" w:rsidRPr="00024552" w:rsidRDefault="00024552" w:rsidP="00024552">
      <w:pPr>
        <w:widowControl w:val="0"/>
        <w:spacing w:after="0"/>
        <w:ind w:right="-1"/>
        <w:jc w:val="both"/>
        <w:rPr>
          <w:rFonts w:ascii="Times New Roman" w:hAnsi="Times New Roman"/>
          <w:b/>
          <w:bCs/>
          <w:i/>
          <w:iCs/>
        </w:rPr>
      </w:pPr>
      <w:r w:rsidRPr="00024552">
        <w:rPr>
          <w:rFonts w:ascii="Times New Roman" w:hAnsi="Times New Roman"/>
          <w:b/>
          <w:bCs/>
          <w:i/>
          <w:iCs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5DA6763" w14:textId="77777777" w:rsidR="00024552" w:rsidRPr="00024552" w:rsidRDefault="00024552" w:rsidP="0002455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iCs/>
        </w:rPr>
      </w:pPr>
      <w:r w:rsidRPr="00024552">
        <w:rPr>
          <w:rFonts w:ascii="Times New Roman" w:hAnsi="Times New Roman"/>
          <w:bCs/>
          <w:i/>
          <w:iCs/>
        </w:rPr>
        <w:t>ДД (руб.)</w:t>
      </w:r>
      <w:r w:rsidRPr="00024552">
        <w:rPr>
          <w:rFonts w:ascii="Times New Roman" w:hAnsi="Times New Roman"/>
          <w:bCs/>
          <w:iCs/>
        </w:rPr>
        <w:t xml:space="preserve"> = </w:t>
      </w:r>
      <w:r w:rsidRPr="00024552">
        <w:rPr>
          <w:rFonts w:ascii="Times New Roman" w:hAnsi="Times New Roman"/>
          <w:bCs/>
          <w:i/>
          <w:iCs/>
        </w:rPr>
        <w:t>Nom ×</w:t>
      </w:r>
      <w:r w:rsidRPr="00024552">
        <w:rPr>
          <w:rFonts w:ascii="Times New Roman" w:hAnsi="Times New Roman"/>
          <w:i/>
        </w:rPr>
        <w:t xml:space="preserve"> </w:t>
      </w:r>
      <w:r w:rsidRPr="00024552">
        <w:rPr>
          <w:rFonts w:ascii="Times New Roman" w:hAnsi="Times New Roman"/>
          <w:bCs/>
          <w:i/>
          <w:iCs/>
        </w:rPr>
        <w:t>Ставка дополнительного дохода(</w:t>
      </w:r>
      <w:r w:rsidRPr="00024552">
        <w:rPr>
          <w:rFonts w:ascii="Times New Roman" w:hAnsi="Times New Roman"/>
          <w:bCs/>
          <w:i/>
          <w:iCs/>
          <w:lang w:val="en-US"/>
        </w:rPr>
        <w:t>j</w:t>
      </w:r>
      <w:r w:rsidRPr="00024552">
        <w:rPr>
          <w:rFonts w:ascii="Times New Roman" w:hAnsi="Times New Roman"/>
          <w:bCs/>
          <w:i/>
          <w:iCs/>
        </w:rPr>
        <w:t>)</w:t>
      </w:r>
      <w:r w:rsidRPr="00024552">
        <w:rPr>
          <w:rFonts w:ascii="Times New Roman" w:hAnsi="Times New Roman"/>
          <w:bCs/>
          <w:iCs/>
        </w:rPr>
        <w:t>, где</w:t>
      </w:r>
    </w:p>
    <w:p w14:paraId="46BD0A2B" w14:textId="77777777" w:rsidR="00024552" w:rsidRPr="00024552" w:rsidRDefault="00024552" w:rsidP="000245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</w:rPr>
      </w:pPr>
      <w:r w:rsidRPr="00024552">
        <w:rPr>
          <w:rFonts w:ascii="Times New Roman" w:hAnsi="Times New Roman"/>
          <w:bCs/>
          <w:i/>
          <w:iCs/>
        </w:rPr>
        <w:t>Ставка дополнительного дохода(</w:t>
      </w:r>
      <w:r w:rsidRPr="00024552">
        <w:rPr>
          <w:rFonts w:ascii="Times New Roman" w:hAnsi="Times New Roman"/>
          <w:bCs/>
          <w:i/>
          <w:iCs/>
          <w:lang w:val="en-US"/>
        </w:rPr>
        <w:t>j</w:t>
      </w:r>
      <w:r w:rsidRPr="00024552">
        <w:rPr>
          <w:rFonts w:ascii="Times New Roman" w:hAnsi="Times New Roman"/>
          <w:bCs/>
          <w:i/>
          <w:iCs/>
        </w:rPr>
        <w:t>)</w:t>
      </w:r>
      <w:r w:rsidRPr="00024552">
        <w:rPr>
          <w:rFonts w:ascii="Times New Roman" w:hAnsi="Times New Roman"/>
          <w:bCs/>
          <w:iCs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D3BFF37" w14:textId="77777777" w:rsidR="00024552" w:rsidRPr="00024552" w:rsidRDefault="00024552" w:rsidP="000245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</w:rPr>
      </w:pPr>
      <w:r w:rsidRPr="00024552">
        <w:rPr>
          <w:rFonts w:ascii="Times New Roman" w:hAnsi="Times New Roman"/>
          <w:bCs/>
          <w:i/>
          <w:iCs/>
        </w:rPr>
        <w:t>Nom</w:t>
      </w:r>
      <w:r w:rsidRPr="00024552">
        <w:rPr>
          <w:rFonts w:ascii="Times New Roman" w:hAnsi="Times New Roman"/>
          <w:bCs/>
          <w:iCs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1BADAE3" w14:textId="77777777" w:rsidR="00024552" w:rsidRPr="00024552" w:rsidRDefault="00024552" w:rsidP="00024552">
      <w:pPr>
        <w:widowControl w:val="0"/>
        <w:tabs>
          <w:tab w:val="left" w:pos="284"/>
        </w:tabs>
        <w:spacing w:after="0"/>
        <w:ind w:right="-1"/>
        <w:jc w:val="both"/>
        <w:rPr>
          <w:rFonts w:ascii="Times New Roman" w:hAnsi="Times New Roman"/>
          <w:bCs/>
          <w:iCs/>
        </w:rPr>
      </w:pPr>
      <w:r w:rsidRPr="00024552">
        <w:rPr>
          <w:rFonts w:ascii="Times New Roman" w:hAnsi="Times New Roman"/>
          <w:bCs/>
          <w:iCs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bookmarkEnd w:id="0"/>
    <w:bookmarkEnd w:id="1"/>
    <w:bookmarkEnd w:id="2"/>
    <w:p w14:paraId="03872418" w14:textId="77777777" w:rsidR="00024552" w:rsidRPr="00024552" w:rsidRDefault="00024552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</w:p>
    <w:sectPr w:rsidR="00024552" w:rsidRPr="00024552" w:rsidSect="007E7BCE">
      <w:footerReference w:type="default" r:id="rId11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2F04A" w14:textId="77777777" w:rsidR="00080BDE" w:rsidRDefault="00080BDE" w:rsidP="0053664B">
      <w:pPr>
        <w:spacing w:after="0" w:line="240" w:lineRule="auto"/>
      </w:pPr>
      <w:r>
        <w:separator/>
      </w:r>
    </w:p>
  </w:endnote>
  <w:endnote w:type="continuationSeparator" w:id="0">
    <w:p w14:paraId="4DFB0DBD" w14:textId="77777777" w:rsidR="00080BDE" w:rsidRDefault="00080BD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B41C40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91B7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24F7" w14:textId="77777777" w:rsidR="00080BDE" w:rsidRDefault="00080BDE" w:rsidP="0053664B">
      <w:pPr>
        <w:spacing w:after="0" w:line="240" w:lineRule="auto"/>
      </w:pPr>
      <w:r>
        <w:separator/>
      </w:r>
    </w:p>
  </w:footnote>
  <w:footnote w:type="continuationSeparator" w:id="0">
    <w:p w14:paraId="6C0CCA0A" w14:textId="77777777" w:rsidR="00080BDE" w:rsidRDefault="00080BD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0BDE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062B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3747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377E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05EF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5A7C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1B70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08EE096F-58B7-46E7-87A1-4BA4B080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rse-frankfurt.de/en/etf/ishares-core-euro-stoxx-50-ucits-etf-de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funds-and-etfs/spy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ndex/IMO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D0346-3AC1-4B2C-9EBF-571EDF5D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4951</Words>
  <Characters>28226</Characters>
  <Application>Microsoft Office Word</Application>
  <DocSecurity>0</DocSecurity>
  <Lines>235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2021-09-29T12:22:00Z</dcterms:created>
  <dcterms:modified xsi:type="dcterms:W3CDTF">2021-09-29T12:22:00Z</dcterms:modified>
</cp:coreProperties>
</file>